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97DC2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1FA3A0C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b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b/>
          <w:sz w:val="27"/>
          <w:szCs w:val="27"/>
          <w:lang w:val="it-IT" w:eastAsia="en-GB"/>
        </w:rPr>
        <w:t>Regolamento della prova finale per la laurea in Scienze e Tecnologie per l'Ambiente</w:t>
      </w:r>
    </w:p>
    <w:p w14:paraId="7791852B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24AEC646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La prova finale prevede: </w:t>
      </w:r>
    </w:p>
    <w:p w14:paraId="5FF93B60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7767CACE" w14:textId="4D3C2F43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1) La redazione di una tesi di argomento strettamente pertinente alle scienze e tecnologie ambientali, concordato tra lo studente e il relatore su proposta di uno di loro.</w:t>
      </w:r>
    </w:p>
    <w:p w14:paraId="63DC477B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14AF2343" w14:textId="33EFE4BE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2) L'esame di laurea.</w:t>
      </w:r>
    </w:p>
    <w:p w14:paraId="152719E7" w14:textId="18197FD6" w:rsidR="00151AF6" w:rsidRPr="00BD4244" w:rsidRDefault="00151AF6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1DE87232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7971AC1F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b/>
          <w:bCs/>
          <w:sz w:val="27"/>
          <w:szCs w:val="27"/>
          <w:lang w:val="it-IT" w:eastAsia="en-GB"/>
        </w:rPr>
        <w:t>PARTE I - Norme generali</w:t>
      </w:r>
    </w:p>
    <w:p w14:paraId="18E517CD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27CED4BD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>Scelta del Relatore</w:t>
      </w:r>
    </w:p>
    <w:p w14:paraId="551A63D4" w14:textId="77777777" w:rsidR="00B5587B" w:rsidRPr="00BD4244" w:rsidRDefault="00B5587B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</w:p>
    <w:p w14:paraId="44C41227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Gli studenti possono liberamente scegliere il relatore fra:</w:t>
      </w:r>
    </w:p>
    <w:p w14:paraId="30F9448D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65C79BA7" w14:textId="557A07DF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1) I professori di ruolo, i ricercatori universitari e i ricercatori a tempo determinato </w:t>
      </w:r>
      <w:r w:rsidR="0084656F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che svolgono incarichi di docenza nel Corso di Studio di Scienze e Tecnologie per l'Ambiente o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afferenti a</w:t>
      </w:r>
      <w:r w:rsidR="0084656F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i Dipartimenti che partecipano alla didattica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="0084656F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del Corso di Studio di Scienze e Tecnologie per l'Ambiente; in</w:t>
      </w:r>
      <w:r w:rsidR="000F61C4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="0084656F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alternativa è possibile</w:t>
      </w:r>
      <w:r w:rsidR="0084656F" w:rsidRPr="00BD4244" w:rsidDel="0084656F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="000F61C4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scegliere tra professori di ruolo, i ricercatori universitari e i ricercatori a tempo determinato dell’Ateneo di Padova previa autorizzazione della Commissione lauree.</w:t>
      </w:r>
    </w:p>
    <w:p w14:paraId="35AB4BFB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78EAEC2" w14:textId="12CED6F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2) Il personale ricercatore del CNR o altri enti pubblici di ricerca riconosciuti, distaccato presso </w:t>
      </w:r>
      <w:r w:rsidR="0084656F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l’Ateneo di Padova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="00F75597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previa autorizzazione della Commissione lauree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.  </w:t>
      </w:r>
    </w:p>
    <w:p w14:paraId="07D30266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450FC631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Il relatore deve rifiutare se cessa dal servizio prima della data di laurea prevista.</w:t>
      </w:r>
    </w:p>
    <w:p w14:paraId="0933160D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I relatori che perdono i requisiti possono portare a termine l'incarico se restano in servizio.</w:t>
      </w:r>
    </w:p>
    <w:p w14:paraId="07E1B8CF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797B86A2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>Inizio della prova finale</w:t>
      </w:r>
    </w:p>
    <w:p w14:paraId="12E8DFDA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La prova inizia con la presentazione della domanda di laurea secondo le scadenze dell'Ateneo.    </w:t>
      </w:r>
    </w:p>
    <w:p w14:paraId="0AE0705C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5F433BCF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>Cambio del Relatore</w:t>
      </w:r>
    </w:p>
    <w:p w14:paraId="315A4B7E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lastRenderedPageBreak/>
        <w:t>In generale il cambio di relatore dopo l'inizio non è consentito. Solo per gravi motivi lo studente può interrompere e iniziarne una nuova con un altro relatore, ritirando e presentando una nuova domanda.</w:t>
      </w:r>
    </w:p>
    <w:p w14:paraId="700EEBB3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7752472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>Requisiti per iniziare</w:t>
      </w:r>
    </w:p>
    <w:p w14:paraId="3403EAFA" w14:textId="0DC115DC" w:rsidR="00647353" w:rsidRPr="00BD4244" w:rsidRDefault="003B169B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Le attività inerenti la tesi possono iniziare</w:t>
      </w:r>
      <w:r w:rsidR="0064735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se superati tutti gli esami del primo anno e caricati almeno </w:t>
      </w:r>
      <w:r w:rsidR="001C6994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120 </w:t>
      </w:r>
      <w:r w:rsidR="0064735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crediti. Il relatore verifica i crediti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acquisiti </w:t>
      </w:r>
      <w:r w:rsidR="0064735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prima di approvare il titolo della tesi.  </w:t>
      </w:r>
    </w:p>
    <w:p w14:paraId="155A5031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44C31356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 xml:space="preserve">Tesi </w:t>
      </w:r>
    </w:p>
    <w:p w14:paraId="2190A5F5" w14:textId="49EB1F0A" w:rsidR="003B169B" w:rsidRPr="00BD4244" w:rsidRDefault="004D0BA5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La tesi </w:t>
      </w:r>
      <w:r w:rsidR="003B169B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sperimentale o bibliografica dovrà essere incentrata su un argomento strettamente pertinente alle scienze e tecnologie ambientali, e dovrà prevedere attività corrispondenti a 3 CFU.</w:t>
      </w:r>
    </w:p>
    <w:p w14:paraId="48A2E245" w14:textId="447EDCF5" w:rsidR="005D57CE" w:rsidRPr="00BD4244" w:rsidRDefault="00B5587B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È possibile accorpare le attività di tirocinio e di tesi, per un totale di 6 CFU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,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da svolgere sia presso le strutture dell’Ateneo sia presso aziende private.</w:t>
      </w:r>
      <w:r w:rsidR="005D57CE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In caso di tesi e/o tirocini esterni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="005D57CE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gli studenti dovranno avere un supervisore interno, da individuarsi secondo le indicazioni per </w:t>
      </w:r>
      <w:r w:rsidR="005D57CE"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>la scelta del relatore</w:t>
      </w:r>
      <w:r w:rsidR="00491526" w:rsidRPr="00BD4244">
        <w:rPr>
          <w:rFonts w:ascii="Segoe UI" w:eastAsia="Times New Roman" w:hAnsi="Segoe UI" w:cs="Segoe UI"/>
          <w:iCs/>
          <w:sz w:val="27"/>
          <w:szCs w:val="27"/>
          <w:lang w:val="it-IT" w:eastAsia="en-GB"/>
        </w:rPr>
        <w:t>,</w:t>
      </w:r>
      <w:r w:rsidR="005D57CE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con competenze adeguate all’argomento/progetto di tesi e/o tirocinio.</w:t>
      </w:r>
    </w:p>
    <w:p w14:paraId="0AC9922D" w14:textId="3D655C23" w:rsidR="00647353" w:rsidRPr="00BD4244" w:rsidRDefault="00B5587B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Attività sperimentali devono essere concordate e svolte nel rispetto delle norme di sicurezza</w:t>
      </w:r>
      <w:r w:rsidR="000E122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.</w:t>
      </w:r>
    </w:p>
    <w:p w14:paraId="748C8945" w14:textId="494245C5" w:rsidR="0017102A" w:rsidRPr="00BD4244" w:rsidRDefault="0017102A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È prevista, su motivata richiesta, la redazione e la discussione della tesi in lingua inglese.</w:t>
      </w:r>
    </w:p>
    <w:p w14:paraId="71F98A35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D38067F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>Deposito della tesi</w:t>
      </w:r>
    </w:p>
    <w:p w14:paraId="395DF7B3" w14:textId="29701DD9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La tesi deve essere depositata in forma digitale almeno </w:t>
      </w:r>
      <w:r w:rsidR="004D0BA5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due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settimane prima della data di laurea, pena l'esclusione dall'esame.</w:t>
      </w:r>
    </w:p>
    <w:p w14:paraId="64F46564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EE2A597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i/>
          <w:iCs/>
          <w:sz w:val="27"/>
          <w:szCs w:val="27"/>
          <w:lang w:val="it-IT" w:eastAsia="en-GB"/>
        </w:rPr>
        <w:t xml:space="preserve">Esame di laurea </w:t>
      </w:r>
    </w:p>
    <w:p w14:paraId="27F759CA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L'esame prevede:</w:t>
      </w:r>
    </w:p>
    <w:p w14:paraId="573C5C3E" w14:textId="4D35D6E3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1. Un </w:t>
      </w:r>
      <w:r w:rsidR="001C6902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esame pubblico in presenza della Commissione di laurea</w:t>
      </w:r>
    </w:p>
    <w:p w14:paraId="41ABA9C3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2. La proclamazione pubblica</w:t>
      </w:r>
    </w:p>
    <w:p w14:paraId="719C859D" w14:textId="0BD1E313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E00F897" w14:textId="564D8488" w:rsidR="00151AF6" w:rsidRPr="00BD4244" w:rsidRDefault="00151AF6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60DBF74B" w14:textId="77777777" w:rsidR="00151AF6" w:rsidRPr="00BD4244" w:rsidRDefault="00151AF6" w:rsidP="00151AF6">
      <w:pPr>
        <w:spacing w:after="0" w:line="240" w:lineRule="auto"/>
        <w:jc w:val="both"/>
        <w:rPr>
          <w:rFonts w:ascii="Segoe UI" w:eastAsia="Times New Roman" w:hAnsi="Segoe UI" w:cs="Segoe UI"/>
          <w:b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b/>
          <w:sz w:val="27"/>
          <w:szCs w:val="27"/>
          <w:lang w:val="it-IT" w:eastAsia="en-GB"/>
        </w:rPr>
        <w:t>Formazione della commissione per la proclamazione</w:t>
      </w:r>
    </w:p>
    <w:p w14:paraId="50C4DE2D" w14:textId="460B8C7F" w:rsidR="00151AF6" w:rsidRPr="00BD4244" w:rsidRDefault="00151AF6" w:rsidP="00151AF6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La commissione per la proclamazione è formata da docenti o ricercatori universitari di ruolo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dell’Università di Padova per un totale di cinque membri titolari e due supplenti, scelti dalla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Commissione Lauree.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Tra i membri titolari viene designato un Presidente di Commissione.</w:t>
      </w:r>
    </w:p>
    <w:p w14:paraId="407F2EFC" w14:textId="61E7DFE9" w:rsidR="00151AF6" w:rsidRPr="00BD4244" w:rsidRDefault="00151AF6" w:rsidP="00151AF6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lastRenderedPageBreak/>
        <w:t>I membri supplenti devono tenersi a disposizione per la proclamazione allo stesso modo di quelli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titolari per poter subentrare loro anche senza preavviso in caso di necessità.</w:t>
      </w:r>
    </w:p>
    <w:p w14:paraId="76E240C7" w14:textId="77777777" w:rsidR="00151AF6" w:rsidRPr="00BD4244" w:rsidRDefault="00151AF6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1CBEC7D5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Colloquio orale</w:t>
      </w:r>
    </w:p>
    <w:p w14:paraId="5E04EA27" w14:textId="78503376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Se la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Commissione di laurea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giudica la tesi inammissibile o il colloquio insufficiente, lo studente è rimandato a un successivo appello.</w:t>
      </w:r>
    </w:p>
    <w:p w14:paraId="7D97C7B6" w14:textId="751B61BE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Se il colloquio è sufficiente, la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Commissione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assegna un voto da 1 a </w:t>
      </w:r>
      <w:r w:rsidR="00D578E7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6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proofErr w:type="spellStart"/>
      <w:r w:rsidR="005E597B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centodecimi</w:t>
      </w:r>
      <w:proofErr w:type="spellEnd"/>
      <w:r w:rsidR="005E597B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per tesi e colloquio</w:t>
      </w:r>
      <w:r w:rsidR="00D578E7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, acquisita la valutazione del relatore/supervisore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.</w:t>
      </w:r>
    </w:p>
    <w:p w14:paraId="42D58063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215EBE45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4AB61F74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Proclamazione</w:t>
      </w:r>
    </w:p>
    <w:p w14:paraId="47E17C6F" w14:textId="477012F5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Avviene nel giorno di laurea da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lla Commissione di laurea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composta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d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a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5 docenti che assegna il voto finale in </w:t>
      </w:r>
      <w:proofErr w:type="spellStart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centodecimi</w:t>
      </w:r>
      <w:proofErr w:type="spellEnd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, delibera sull'eventuale lode e conferisce il titolo.</w:t>
      </w:r>
      <w:bookmarkStart w:id="0" w:name="_GoBack"/>
      <w:bookmarkEnd w:id="0"/>
    </w:p>
    <w:p w14:paraId="306F7941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3F8B7EAA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b/>
          <w:bCs/>
          <w:sz w:val="27"/>
          <w:szCs w:val="27"/>
          <w:lang w:val="it-IT" w:eastAsia="en-GB"/>
        </w:rPr>
        <w:t>Punteggi e voto finale</w:t>
      </w:r>
    </w:p>
    <w:p w14:paraId="6587279B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L'attribuzione del voto finale di laurea è compito della Commissione di laurea ed è espresso in </w:t>
      </w:r>
      <w:proofErr w:type="spellStart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centodecimi</w:t>
      </w:r>
      <w:proofErr w:type="spellEnd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. Esso deriva dalla somma dei seguenti punteggi:</w:t>
      </w:r>
    </w:p>
    <w:p w14:paraId="0D075C13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6E63F48E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a. Media ponderata, espressa in </w:t>
      </w:r>
      <w:proofErr w:type="spellStart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centodecimi</w:t>
      </w:r>
      <w:proofErr w:type="spellEnd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, dei voti conseguiti nel </w:t>
      </w:r>
      <w:r w:rsidRPr="00BD4244">
        <w:rPr>
          <w:rFonts w:ascii="Segoe UI" w:eastAsia="Times New Roman" w:hAnsi="Segoe UI" w:cs="Segoe UI"/>
          <w:i/>
          <w:sz w:val="27"/>
          <w:szCs w:val="27"/>
          <w:lang w:val="it-IT" w:eastAsia="en-GB"/>
        </w:rPr>
        <w:t xml:space="preserve">curriculum </w:t>
      </w:r>
      <w:proofErr w:type="spellStart"/>
      <w:r w:rsidRPr="00BD4244">
        <w:rPr>
          <w:rFonts w:ascii="Segoe UI" w:eastAsia="Times New Roman" w:hAnsi="Segoe UI" w:cs="Segoe UI"/>
          <w:i/>
          <w:sz w:val="27"/>
          <w:szCs w:val="27"/>
          <w:lang w:val="it-IT" w:eastAsia="en-GB"/>
        </w:rPr>
        <w:t>studiorum</w:t>
      </w:r>
      <w:proofErr w:type="spellEnd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della laurea incluse le attività formative.</w:t>
      </w:r>
    </w:p>
    <w:p w14:paraId="0BA9D982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E0A15B0" w14:textId="75B7C620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b. 0,</w:t>
      </w:r>
      <w:r w:rsidR="00166087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2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5 </w:t>
      </w:r>
      <w:proofErr w:type="spellStart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centodecimi</w:t>
      </w:r>
      <w:proofErr w:type="spellEnd"/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per ogni lode;  </w:t>
      </w:r>
    </w:p>
    <w:p w14:paraId="33EEC306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69BC9EF5" w14:textId="5E231ACF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c. Punteggio attribuito nella valutazione della prova finale, compreso </w:t>
      </w:r>
      <w:r w:rsidR="00C01085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tra 0 e 6, di cui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fino a </w:t>
      </w:r>
      <w:r w:rsidR="00C01085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3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punti attribuiti </w:t>
      </w:r>
      <w:r w:rsidR="00C01085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dal relatore</w:t>
      </w:r>
      <w:r w:rsidR="00B73BCF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/supervisore</w:t>
      </w:r>
      <w:r w:rsidR="00C01085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con motivato e sintetico giudizio </w:t>
      </w:r>
      <w:r w:rsidR="00C01085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e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fino a </w:t>
      </w:r>
      <w:r w:rsidR="00C01085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3 dalla Commissione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 di laurea;</w:t>
      </w:r>
    </w:p>
    <w:p w14:paraId="042B1EC9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0548A937" w14:textId="54005DB2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d. Un bonus per la carriera, </w:t>
      </w:r>
      <w:r w:rsidR="00491526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pari a 2 punti per laureati in corso, ovvero che conseguano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la laurea entro il terzo periodo del 3° anno; </w:t>
      </w:r>
    </w:p>
    <w:p w14:paraId="2D175C64" w14:textId="7440434A" w:rsidR="00520FCA" w:rsidRPr="00BD4244" w:rsidRDefault="00520FCA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60625B5A" w14:textId="7A650E0E" w:rsidR="00520FCA" w:rsidRPr="00BD4244" w:rsidRDefault="00520FCA" w:rsidP="00520FCA">
      <w:pPr>
        <w:spacing w:after="0" w:line="240" w:lineRule="auto"/>
        <w:jc w:val="both"/>
        <w:rPr>
          <w:rFonts w:ascii="Segoe UI" w:eastAsia="Times New Roman" w:hAnsi="Segoe UI" w:cs="Segoe UI"/>
          <w:strike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e. Un bonus per attività riconducibile all’internazionalizzazione, quali esperienze Erasmus formalizzate, pari a 2 punti</w:t>
      </w:r>
    </w:p>
    <w:p w14:paraId="4F904C31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6DC7C9E4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L'arrotondamento è fatto all'unità immediatamente superiore se il primo decimale è maggiore o uguale a 5, all'unità immediatamente inferiore se il primo decimale è inferiore a 5.</w:t>
      </w:r>
    </w:p>
    <w:p w14:paraId="249924B8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3F461D24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lastRenderedPageBreak/>
        <w:t xml:space="preserve">Attribuzione lode  </w:t>
      </w:r>
    </w:p>
    <w:p w14:paraId="7FD8B482" w14:textId="39C24079" w:rsidR="00647353" w:rsidRPr="00BD4244" w:rsidRDefault="006B4F4C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La lode può essere conseguita s</w:t>
      </w:r>
      <w:r w:rsidR="0064735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e il voto finale di laurea arrotondato è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&gt;110</w:t>
      </w:r>
      <w:r w:rsidR="0064735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/110 e c'è proposta di lode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all'unanimità </w:t>
      </w:r>
      <w:r w:rsidR="0064735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dalla </w:t>
      </w:r>
      <w:r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 xml:space="preserve">Commissione </w:t>
      </w:r>
      <w:r w:rsidR="00505947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di laurea</w:t>
      </w:r>
      <w:r w:rsidR="00647353" w:rsidRPr="00BD4244">
        <w:rPr>
          <w:rFonts w:ascii="Segoe UI" w:eastAsia="Times New Roman" w:hAnsi="Segoe UI" w:cs="Segoe UI"/>
          <w:sz w:val="27"/>
          <w:szCs w:val="27"/>
          <w:lang w:val="it-IT" w:eastAsia="en-GB"/>
        </w:rPr>
        <w:t>.</w:t>
      </w:r>
    </w:p>
    <w:p w14:paraId="3791D58A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6D2B9806" w14:textId="77777777" w:rsidR="00647353" w:rsidRPr="00BD4244" w:rsidRDefault="00647353" w:rsidP="0017102A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val="it-IT" w:eastAsia="en-GB"/>
        </w:rPr>
      </w:pPr>
    </w:p>
    <w:p w14:paraId="3C73FCBD" w14:textId="1AD77033" w:rsidR="001C395E" w:rsidRPr="00BD4244" w:rsidRDefault="001C395E" w:rsidP="0017102A">
      <w:pPr>
        <w:jc w:val="both"/>
        <w:rPr>
          <w:lang w:val="it-IT"/>
        </w:rPr>
      </w:pPr>
    </w:p>
    <w:sectPr w:rsidR="001C395E" w:rsidRPr="00BD4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F8"/>
    <w:rsid w:val="00032762"/>
    <w:rsid w:val="000E1223"/>
    <w:rsid w:val="000E5BA0"/>
    <w:rsid w:val="000F61C4"/>
    <w:rsid w:val="00151AF6"/>
    <w:rsid w:val="00166087"/>
    <w:rsid w:val="0017102A"/>
    <w:rsid w:val="001A5C59"/>
    <w:rsid w:val="001C395E"/>
    <w:rsid w:val="001C6902"/>
    <w:rsid w:val="001C6994"/>
    <w:rsid w:val="00242129"/>
    <w:rsid w:val="002F1AF4"/>
    <w:rsid w:val="003B169B"/>
    <w:rsid w:val="003B412F"/>
    <w:rsid w:val="003B46DE"/>
    <w:rsid w:val="003C52E1"/>
    <w:rsid w:val="003F7BCB"/>
    <w:rsid w:val="00491526"/>
    <w:rsid w:val="004D0BA5"/>
    <w:rsid w:val="00505947"/>
    <w:rsid w:val="00520FCA"/>
    <w:rsid w:val="00571041"/>
    <w:rsid w:val="005D57CE"/>
    <w:rsid w:val="005E597B"/>
    <w:rsid w:val="00647353"/>
    <w:rsid w:val="00673573"/>
    <w:rsid w:val="006B4F4C"/>
    <w:rsid w:val="006E4497"/>
    <w:rsid w:val="007F4DB1"/>
    <w:rsid w:val="007F684F"/>
    <w:rsid w:val="0080656E"/>
    <w:rsid w:val="0084656F"/>
    <w:rsid w:val="00852E20"/>
    <w:rsid w:val="008A1DA2"/>
    <w:rsid w:val="008D54C7"/>
    <w:rsid w:val="008F0DDF"/>
    <w:rsid w:val="0091760F"/>
    <w:rsid w:val="009409B8"/>
    <w:rsid w:val="00B5587B"/>
    <w:rsid w:val="00B73BCF"/>
    <w:rsid w:val="00BA26AE"/>
    <w:rsid w:val="00BD4244"/>
    <w:rsid w:val="00C01085"/>
    <w:rsid w:val="00CB198E"/>
    <w:rsid w:val="00CE49DD"/>
    <w:rsid w:val="00D05813"/>
    <w:rsid w:val="00D578E7"/>
    <w:rsid w:val="00DB00F8"/>
    <w:rsid w:val="00E02251"/>
    <w:rsid w:val="00E70F0C"/>
    <w:rsid w:val="00ED7D37"/>
    <w:rsid w:val="00F568F4"/>
    <w:rsid w:val="00F75597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F19F"/>
  <w15:chartTrackingRefBased/>
  <w15:docId w15:val="{6429F0A9-F5A3-44B8-8C1F-0E462813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NRitalic">
    <w:name w:val="TNR italic"/>
    <w:basedOn w:val="Sommario2"/>
    <w:link w:val="TNRitalicCarattere"/>
    <w:autoRedefine/>
    <w:qFormat/>
    <w:rsid w:val="008F0DDF"/>
    <w:pPr>
      <w:tabs>
        <w:tab w:val="right" w:leader="dot" w:pos="9016"/>
      </w:tabs>
    </w:pPr>
    <w:rPr>
      <w:rFonts w:ascii="Times New Roman" w:eastAsia="Times New Roman" w:hAnsi="Times New Roman" w:cs="Times New Roman"/>
      <w:i/>
      <w:noProof/>
      <w:sz w:val="24"/>
    </w:rPr>
  </w:style>
  <w:style w:type="character" w:customStyle="1" w:styleId="TNRitalicCarattere">
    <w:name w:val="TNR italic Carattere"/>
    <w:basedOn w:val="Carpredefinitoparagrafo"/>
    <w:link w:val="TNRitalic"/>
    <w:rsid w:val="008F0DDF"/>
    <w:rPr>
      <w:rFonts w:ascii="Times New Roman" w:eastAsia="Times New Roman" w:hAnsi="Times New Roman" w:cs="Times New Roman"/>
      <w:i/>
      <w:noProof/>
      <w:sz w:val="24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8F0DDF"/>
    <w:pPr>
      <w:spacing w:after="100"/>
      <w:ind w:left="220"/>
    </w:pPr>
  </w:style>
  <w:style w:type="paragraph" w:styleId="Revisione">
    <w:name w:val="Revision"/>
    <w:hidden/>
    <w:uiPriority w:val="99"/>
    <w:semiHidden/>
    <w:rsid w:val="00846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0911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982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Bogialli</dc:creator>
  <cp:keywords/>
  <dc:description/>
  <cp:lastModifiedBy>Sara Bogialli</cp:lastModifiedBy>
  <cp:revision>35</cp:revision>
  <dcterms:created xsi:type="dcterms:W3CDTF">2024-11-04T15:27:00Z</dcterms:created>
  <dcterms:modified xsi:type="dcterms:W3CDTF">2024-12-18T15:34:00Z</dcterms:modified>
</cp:coreProperties>
</file>